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F6" w:rsidRDefault="00C343F6" w:rsidP="00C343F6">
      <w:pPr>
        <w:rPr>
          <w:rFonts w:ascii="Sylfaen" w:hAnsi="Sylfaen"/>
          <w:b/>
          <w:bCs/>
          <w:lang w:val="ka-GE"/>
        </w:rPr>
      </w:pPr>
      <w:r>
        <w:rPr>
          <w:rFonts w:ascii="Sylfaen" w:hAnsi="Sylfaen"/>
          <w:b/>
          <w:bCs/>
          <w:lang w:val="ka-GE"/>
        </w:rPr>
        <w:t>მომსახურება უნდა განხორციელდეს შემდეგ მოდელებზე:</w:t>
      </w:r>
    </w:p>
    <w:p w:rsidR="00C343F6" w:rsidRDefault="00C343F6" w:rsidP="00C343F6">
      <w:pPr>
        <w:rPr>
          <w:rFonts w:ascii="Sylfaen" w:hAnsi="Sylfaen"/>
          <w:lang w:val="ka-GE"/>
        </w:rPr>
      </w:pPr>
    </w:p>
    <w:tbl>
      <w:tblPr>
        <w:tblW w:w="0" w:type="auto"/>
        <w:tblCellMar>
          <w:left w:w="0" w:type="dxa"/>
          <w:right w:w="0" w:type="dxa"/>
        </w:tblCellMar>
        <w:tblLook w:val="04A0" w:firstRow="1" w:lastRow="0" w:firstColumn="1" w:lastColumn="0" w:noHBand="0" w:noVBand="1"/>
      </w:tblPr>
      <w:tblGrid>
        <w:gridCol w:w="4312"/>
        <w:gridCol w:w="2585"/>
      </w:tblGrid>
      <w:tr w:rsidR="00C343F6" w:rsidTr="00C343F6">
        <w:tc>
          <w:tcPr>
            <w:tcW w:w="4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43F6" w:rsidRDefault="00C343F6">
            <w:r>
              <w:t>Name</w:t>
            </w:r>
          </w:p>
        </w:tc>
        <w:tc>
          <w:tcPr>
            <w:tcW w:w="2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43F6" w:rsidRDefault="00C343F6">
            <w:r>
              <w:t>Model</w:t>
            </w:r>
          </w:p>
        </w:tc>
      </w:tr>
      <w:tr w:rsidR="00C343F6" w:rsidTr="00C343F6">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3F6" w:rsidRDefault="00C15F3B">
            <w:pPr>
              <w:rPr>
                <w:b/>
                <w:bCs/>
                <w:sz w:val="24"/>
                <w:szCs w:val="24"/>
              </w:rPr>
            </w:pPr>
            <w:proofErr w:type="spellStart"/>
            <w:r>
              <w:rPr>
                <w:b/>
                <w:bCs/>
                <w:sz w:val="24"/>
                <w:szCs w:val="24"/>
              </w:rPr>
              <w:t>Symmetra</w:t>
            </w:r>
            <w:proofErr w:type="spellEnd"/>
            <w:r>
              <w:rPr>
                <w:b/>
                <w:bCs/>
                <w:sz w:val="24"/>
                <w:szCs w:val="24"/>
              </w:rPr>
              <w:t xml:space="preserve"> PX 160kVA / 160kW</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C343F6" w:rsidRDefault="00C343F6" w:rsidP="008F3B56">
            <w:pPr>
              <w:rPr>
                <w:b/>
                <w:bCs/>
                <w:sz w:val="24"/>
                <w:szCs w:val="24"/>
              </w:rPr>
            </w:pPr>
            <w:r>
              <w:rPr>
                <w:b/>
                <w:bCs/>
                <w:sz w:val="24"/>
                <w:szCs w:val="24"/>
              </w:rPr>
              <w:t>SYCF</w:t>
            </w:r>
            <w:r w:rsidR="008F3B56">
              <w:rPr>
                <w:b/>
                <w:bCs/>
                <w:sz w:val="24"/>
                <w:szCs w:val="24"/>
              </w:rPr>
              <w:t>160</w:t>
            </w:r>
            <w:r>
              <w:rPr>
                <w:b/>
                <w:bCs/>
                <w:sz w:val="24"/>
                <w:szCs w:val="24"/>
              </w:rPr>
              <w:t>KH</w:t>
            </w:r>
          </w:p>
        </w:tc>
      </w:tr>
      <w:tr w:rsidR="00C343F6" w:rsidTr="00C15F3B">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43F6" w:rsidRDefault="00C15F3B">
            <w:pPr>
              <w:rPr>
                <w:b/>
                <w:bCs/>
                <w:sz w:val="24"/>
                <w:szCs w:val="24"/>
              </w:rPr>
            </w:pPr>
            <w:proofErr w:type="spellStart"/>
            <w:r>
              <w:rPr>
                <w:b/>
                <w:bCs/>
                <w:sz w:val="24"/>
                <w:szCs w:val="24"/>
              </w:rPr>
              <w:t>Symmetra</w:t>
            </w:r>
            <w:proofErr w:type="spellEnd"/>
            <w:r>
              <w:rPr>
                <w:b/>
                <w:bCs/>
                <w:sz w:val="24"/>
                <w:szCs w:val="24"/>
              </w:rPr>
              <w:t xml:space="preserve"> PX 160kVA / 160kW</w:t>
            </w:r>
          </w:p>
        </w:tc>
        <w:tc>
          <w:tcPr>
            <w:tcW w:w="2585" w:type="dxa"/>
            <w:tcBorders>
              <w:top w:val="nil"/>
              <w:left w:val="nil"/>
              <w:bottom w:val="single" w:sz="8" w:space="0" w:color="auto"/>
              <w:right w:val="single" w:sz="8" w:space="0" w:color="auto"/>
            </w:tcBorders>
            <w:tcMar>
              <w:top w:w="0" w:type="dxa"/>
              <w:left w:w="108" w:type="dxa"/>
              <w:bottom w:w="0" w:type="dxa"/>
              <w:right w:w="108" w:type="dxa"/>
            </w:tcMar>
          </w:tcPr>
          <w:p w:rsidR="00C343F6" w:rsidRDefault="00C15F3B">
            <w:pPr>
              <w:rPr>
                <w:b/>
                <w:bCs/>
                <w:sz w:val="24"/>
                <w:szCs w:val="24"/>
              </w:rPr>
            </w:pPr>
            <w:r>
              <w:rPr>
                <w:b/>
                <w:bCs/>
                <w:sz w:val="24"/>
                <w:szCs w:val="24"/>
              </w:rPr>
              <w:t>SYCF160KH</w:t>
            </w:r>
          </w:p>
        </w:tc>
      </w:tr>
      <w:tr w:rsidR="00C15F3B" w:rsidTr="00C15F3B">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5F3B" w:rsidRDefault="00C15F3B" w:rsidP="00C15F3B">
            <w:pPr>
              <w:rPr>
                <w:b/>
                <w:bCs/>
                <w:sz w:val="24"/>
                <w:szCs w:val="24"/>
              </w:rPr>
            </w:pPr>
            <w:proofErr w:type="spellStart"/>
            <w:r>
              <w:rPr>
                <w:b/>
                <w:bCs/>
                <w:sz w:val="24"/>
                <w:szCs w:val="24"/>
              </w:rPr>
              <w:t>Symmetra</w:t>
            </w:r>
            <w:proofErr w:type="spellEnd"/>
            <w:r>
              <w:rPr>
                <w:b/>
                <w:bCs/>
                <w:sz w:val="24"/>
                <w:szCs w:val="24"/>
              </w:rPr>
              <w:t xml:space="preserve"> PX 40KVA / 40KW</w:t>
            </w:r>
          </w:p>
        </w:tc>
        <w:tc>
          <w:tcPr>
            <w:tcW w:w="2585" w:type="dxa"/>
            <w:tcBorders>
              <w:top w:val="nil"/>
              <w:left w:val="nil"/>
              <w:bottom w:val="single" w:sz="8" w:space="0" w:color="auto"/>
              <w:right w:val="single" w:sz="8" w:space="0" w:color="auto"/>
            </w:tcBorders>
            <w:tcMar>
              <w:top w:w="0" w:type="dxa"/>
              <w:left w:w="108" w:type="dxa"/>
              <w:bottom w:w="0" w:type="dxa"/>
              <w:right w:w="108" w:type="dxa"/>
            </w:tcMar>
          </w:tcPr>
          <w:p w:rsidR="00C15F3B" w:rsidRDefault="00C15F3B" w:rsidP="00C15F3B">
            <w:pPr>
              <w:rPr>
                <w:b/>
                <w:bCs/>
                <w:sz w:val="24"/>
                <w:szCs w:val="24"/>
              </w:rPr>
            </w:pPr>
            <w:r>
              <w:rPr>
                <w:b/>
                <w:bCs/>
                <w:sz w:val="24"/>
                <w:szCs w:val="24"/>
              </w:rPr>
              <w:t>SYCF40KH</w:t>
            </w:r>
          </w:p>
        </w:tc>
      </w:tr>
      <w:tr w:rsidR="00C15F3B" w:rsidTr="00C343F6">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F3B" w:rsidRDefault="00C15F3B" w:rsidP="00C15F3B">
            <w:pPr>
              <w:rPr>
                <w:b/>
                <w:bCs/>
                <w:sz w:val="24"/>
                <w:szCs w:val="24"/>
              </w:rPr>
            </w:pPr>
            <w:proofErr w:type="spellStart"/>
            <w:r>
              <w:rPr>
                <w:b/>
                <w:bCs/>
                <w:sz w:val="24"/>
                <w:szCs w:val="24"/>
              </w:rPr>
              <w:t>Symmetra</w:t>
            </w:r>
            <w:proofErr w:type="spellEnd"/>
            <w:r>
              <w:rPr>
                <w:b/>
                <w:bCs/>
                <w:sz w:val="24"/>
                <w:szCs w:val="24"/>
              </w:rPr>
              <w:t xml:space="preserve"> PX 40KVA / 40KW</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C15F3B" w:rsidRDefault="00C15F3B" w:rsidP="00C15F3B">
            <w:pPr>
              <w:rPr>
                <w:b/>
                <w:bCs/>
                <w:sz w:val="24"/>
                <w:szCs w:val="24"/>
              </w:rPr>
            </w:pPr>
            <w:r>
              <w:rPr>
                <w:b/>
                <w:bCs/>
                <w:sz w:val="24"/>
                <w:szCs w:val="24"/>
              </w:rPr>
              <w:t>SYCF40KH</w:t>
            </w:r>
          </w:p>
        </w:tc>
      </w:tr>
    </w:tbl>
    <w:p w:rsidR="00C343F6" w:rsidRDefault="00C343F6" w:rsidP="00C343F6">
      <w:pPr>
        <w:rPr>
          <w:rFonts w:ascii="Sylfaen" w:hAnsi="Sylfaen"/>
          <w:lang w:val="ka-GE"/>
        </w:rPr>
      </w:pPr>
    </w:p>
    <w:p w:rsidR="00C343F6" w:rsidRDefault="00C343F6" w:rsidP="00C343F6">
      <w:pPr>
        <w:rPr>
          <w:rFonts w:ascii="Sylfaen" w:hAnsi="Sylfaen"/>
          <w:lang w:val="ka-GE"/>
        </w:rPr>
      </w:pPr>
    </w:p>
    <w:p w:rsidR="00C343F6" w:rsidRDefault="00C343F6" w:rsidP="00C343F6">
      <w:pPr>
        <w:rPr>
          <w:rFonts w:ascii="Sylfaen" w:hAnsi="Sylfaen"/>
          <w:b/>
          <w:bCs/>
          <w:lang w:val="ka-GE"/>
        </w:rPr>
      </w:pPr>
      <w:r>
        <w:rPr>
          <w:rFonts w:ascii="Sylfaen" w:hAnsi="Sylfaen"/>
          <w:b/>
          <w:bCs/>
          <w:lang w:val="ka-GE"/>
        </w:rPr>
        <w:t>მიმწოდებელი ვალდებულია:</w:t>
      </w:r>
    </w:p>
    <w:p w:rsidR="00C343F6" w:rsidRDefault="00C343F6" w:rsidP="00C343F6">
      <w:pPr>
        <w:rPr>
          <w:rFonts w:ascii="Sylfaen" w:hAnsi="Sylfaen"/>
          <w:lang w:val="ka-GE"/>
        </w:rPr>
      </w:pPr>
    </w:p>
    <w:p w:rsidR="00C343F6" w:rsidRDefault="00C343F6" w:rsidP="00C343F6">
      <w:pPr>
        <w:pStyle w:val="ListParagraph"/>
        <w:numPr>
          <w:ilvl w:val="0"/>
          <w:numId w:val="1"/>
        </w:numPr>
        <w:rPr>
          <w:rFonts w:ascii="Sylfaen" w:hAnsi="Sylfaen"/>
          <w:lang w:val="ka-GE"/>
        </w:rPr>
      </w:pPr>
      <w:r>
        <w:rPr>
          <w:rFonts w:ascii="Sylfaen" w:hAnsi="Sylfaen"/>
          <w:lang w:val="ka-GE"/>
        </w:rPr>
        <w:t>განახორციელოს ობიექტებზე</w:t>
      </w:r>
      <w:r w:rsidR="004949AD">
        <w:rPr>
          <w:rFonts w:ascii="Sylfaen" w:hAnsi="Sylfaen"/>
        </w:rPr>
        <w:t xml:space="preserve"> (</w:t>
      </w:r>
      <w:r w:rsidR="004949AD">
        <w:rPr>
          <w:rFonts w:ascii="Sylfaen" w:hAnsi="Sylfaen"/>
          <w:lang w:val="ka-GE"/>
        </w:rPr>
        <w:t>თბილისი)</w:t>
      </w:r>
      <w:bookmarkStart w:id="0" w:name="_GoBack"/>
      <w:bookmarkEnd w:id="0"/>
      <w:r>
        <w:rPr>
          <w:rFonts w:ascii="Sylfaen" w:hAnsi="Sylfaen"/>
          <w:lang w:val="ka-GE"/>
        </w:rPr>
        <w:t xml:space="preserve"> არსებული უწყვეტი კვების წყაროების გეგმიური შემოწმება წელიწადში ორჯერ მაინც.</w:t>
      </w:r>
    </w:p>
    <w:p w:rsidR="00C343F6" w:rsidRDefault="00C343F6" w:rsidP="006B13DA">
      <w:pPr>
        <w:pStyle w:val="ListParagraph"/>
        <w:numPr>
          <w:ilvl w:val="0"/>
          <w:numId w:val="1"/>
        </w:numPr>
        <w:rPr>
          <w:rFonts w:ascii="Sylfaen" w:hAnsi="Sylfaen"/>
          <w:lang w:val="ka-GE"/>
        </w:rPr>
      </w:pPr>
      <w:r w:rsidRPr="00C343F6">
        <w:rPr>
          <w:rFonts w:ascii="Sylfaen" w:hAnsi="Sylfaen"/>
          <w:lang w:val="ka-GE"/>
        </w:rPr>
        <w:t xml:space="preserve">დღე-ღამის ნებისმიერ მონაკვეთში გაუწიოს ბანკს სრულყოფილი სატელეფონო კონსულტაცია. </w:t>
      </w:r>
    </w:p>
    <w:p w:rsidR="00C343F6" w:rsidRPr="00C343F6" w:rsidRDefault="00C343F6" w:rsidP="006B13DA">
      <w:pPr>
        <w:pStyle w:val="ListParagraph"/>
        <w:numPr>
          <w:ilvl w:val="0"/>
          <w:numId w:val="1"/>
        </w:numPr>
        <w:rPr>
          <w:rFonts w:ascii="Sylfaen" w:hAnsi="Sylfaen"/>
          <w:lang w:val="ka-GE"/>
        </w:rPr>
      </w:pPr>
      <w:r w:rsidRPr="00C343F6">
        <w:rPr>
          <w:rFonts w:ascii="Sylfaen" w:hAnsi="Sylfaen"/>
          <w:lang w:val="ka-GE"/>
        </w:rPr>
        <w:t>საეჭვო ან/და ავარიული სიტუაციების არსებობისას უზრუნველყოს ობიექტზე მისი სპეციალისტების მისვლა და აღმოჩენილი პრობლემის აღმოფხვრა შემდეგი პირობების გათვალისწინებით:</w:t>
      </w:r>
    </w:p>
    <w:p w:rsidR="00C343F6" w:rsidRDefault="00C343F6" w:rsidP="00C343F6">
      <w:pPr>
        <w:pStyle w:val="ListParagraph"/>
        <w:numPr>
          <w:ilvl w:val="1"/>
          <w:numId w:val="1"/>
        </w:numPr>
        <w:rPr>
          <w:rFonts w:ascii="Sylfaen" w:hAnsi="Sylfaen"/>
          <w:lang w:val="ka-GE"/>
        </w:rPr>
      </w:pPr>
      <w:r>
        <w:rPr>
          <w:rFonts w:ascii="Sylfaen" w:hAnsi="Sylfaen"/>
          <w:lang w:val="ka-GE"/>
        </w:rPr>
        <w:t>სპეციალისტების გამოცხადება ობიექტზე უნდა განხორციელდეს ბანკიდან შესაბამისი შეტყობინების მიღებიდან არაუგვიანეს 2 საათში</w:t>
      </w:r>
    </w:p>
    <w:p w:rsidR="00C343F6" w:rsidRDefault="00C343F6" w:rsidP="00C343F6">
      <w:pPr>
        <w:pStyle w:val="ListParagraph"/>
        <w:numPr>
          <w:ilvl w:val="1"/>
          <w:numId w:val="1"/>
        </w:numPr>
        <w:rPr>
          <w:rFonts w:ascii="Sylfaen" w:hAnsi="Sylfaen"/>
          <w:lang w:val="ka-GE"/>
        </w:rPr>
      </w:pPr>
      <w:r>
        <w:rPr>
          <w:rFonts w:ascii="Sylfaen" w:hAnsi="Sylfaen"/>
          <w:lang w:val="ka-GE"/>
        </w:rPr>
        <w:t xml:space="preserve">სპეციალისტების მიერ პრობლემის დიაგნოსტიკა  უნდა განხორციელდეს ობიექტზე მისვლიდან არაუგვიანეს 1 საათში. </w:t>
      </w:r>
    </w:p>
    <w:p w:rsidR="00C343F6" w:rsidRDefault="00C343F6" w:rsidP="00C343F6">
      <w:pPr>
        <w:pStyle w:val="ListParagraph"/>
        <w:numPr>
          <w:ilvl w:val="1"/>
          <w:numId w:val="1"/>
        </w:numPr>
        <w:rPr>
          <w:rFonts w:ascii="Sylfaen" w:hAnsi="Sylfaen"/>
          <w:lang w:val="ka-GE"/>
        </w:rPr>
      </w:pPr>
      <w:r>
        <w:rPr>
          <w:rFonts w:ascii="Sylfaen" w:hAnsi="Sylfaen"/>
          <w:lang w:val="ka-GE"/>
        </w:rPr>
        <w:t>სპეციალისტების მიერ პრობლემის აღმოფხვრა უნდა განხორციელდეს დიაგნოსტიკიდან არაუგვიანეს 5 საათში.</w:t>
      </w:r>
    </w:p>
    <w:p w:rsidR="00C343F6" w:rsidRDefault="00C343F6" w:rsidP="00C343F6">
      <w:pPr>
        <w:pStyle w:val="ListParagraph"/>
        <w:numPr>
          <w:ilvl w:val="1"/>
          <w:numId w:val="1"/>
        </w:numPr>
        <w:rPr>
          <w:rFonts w:ascii="Sylfaen" w:hAnsi="Sylfaen"/>
          <w:lang w:val="ka-GE"/>
        </w:rPr>
      </w:pPr>
      <w:r>
        <w:rPr>
          <w:rFonts w:ascii="Sylfaen" w:hAnsi="Sylfaen"/>
          <w:lang w:val="ka-GE"/>
        </w:rPr>
        <w:t>რეაგირებისათვის განკუთვნილი დროის მაქსიმალური გადაცილება განისაზღვროს 10%-ით.</w:t>
      </w:r>
    </w:p>
    <w:p w:rsidR="00C343F6" w:rsidRDefault="00C343F6" w:rsidP="00C343F6">
      <w:pPr>
        <w:pStyle w:val="ListParagraph"/>
        <w:numPr>
          <w:ilvl w:val="0"/>
          <w:numId w:val="1"/>
        </w:numPr>
        <w:rPr>
          <w:rFonts w:ascii="Sylfaen" w:hAnsi="Sylfaen"/>
          <w:lang w:val="ka-GE"/>
        </w:rPr>
      </w:pPr>
      <w:r>
        <w:rPr>
          <w:rFonts w:ascii="Sylfaen" w:hAnsi="Sylfaen"/>
          <w:lang w:val="ka-GE"/>
        </w:rPr>
        <w:t xml:space="preserve">თითოეულ საეჭვო ან/და ავარიულ სიტუაციასთან დაკავშირებით მიმწოდებელი უზრუნველყოფს ბანკისათვის შესაბამისი რაპორტის მიწოდებას, სადაც დაწვრილებით იქნება აღწერილი არსებული დაზიანების აღმოფხვრის გზები და მეთოდები და რეკომენდაციები სამომავლოდ მსგავსი ავარიული სიტუაციის თავიდან ასაცილებლად. რაპორტის მიწოდება უნდა განხორციელდეს არაუგვიანეს შემოწმების ჩატარების/პრობლემის აღმოფხვრის განხორციელებიდან 3 (სამი) საბანკო დღის განმავლობაში. </w:t>
      </w:r>
    </w:p>
    <w:p w:rsidR="00C343F6" w:rsidRDefault="00C343F6" w:rsidP="00C343F6">
      <w:pPr>
        <w:rPr>
          <w:rFonts w:ascii="Sylfaen" w:hAnsi="Sylfaen"/>
          <w:b/>
          <w:bCs/>
          <w:lang w:val="ka-GE"/>
        </w:rPr>
      </w:pPr>
    </w:p>
    <w:sectPr w:rsidR="00C343F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F442C"/>
    <w:multiLevelType w:val="hybridMultilevel"/>
    <w:tmpl w:val="1210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4D"/>
    <w:rsid w:val="00385B4D"/>
    <w:rsid w:val="004949AD"/>
    <w:rsid w:val="00890AC5"/>
    <w:rsid w:val="008F3B56"/>
    <w:rsid w:val="00C15F3B"/>
    <w:rsid w:val="00C3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3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3F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3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3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0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Bank of Georgia</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 Jikia</dc:creator>
  <cp:lastModifiedBy>Beka Choladze</cp:lastModifiedBy>
  <cp:revision>2</cp:revision>
  <dcterms:created xsi:type="dcterms:W3CDTF">2019-04-01T10:55:00Z</dcterms:created>
  <dcterms:modified xsi:type="dcterms:W3CDTF">2019-04-01T10:55:00Z</dcterms:modified>
</cp:coreProperties>
</file>